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尊敬的客户：</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欢迎您进入中家院（北京）检测认证有限公司认证中心（英文简称CHCT）申诉、投诉与争议界面。如您对我中心的认证工作提出申诉、投诉与争议，请注意以下事项：</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1、本程序适用于正在向CHCT申请认证、已获得CHCT认证的组织及其他相关方对CHCT的申诉、投诉和争议。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2、请您在提出申诉、投诉与争议时认真</w:t>
      </w:r>
      <w:r w:rsidR="00237733">
        <w:rPr>
          <w:rFonts w:cs="Helvetica" w:hint="eastAsia"/>
          <w:color w:val="000000"/>
          <w:sz w:val="21"/>
          <w:szCs w:val="21"/>
        </w:rPr>
        <w:t>反馈内容</w:t>
      </w:r>
      <w:r>
        <w:rPr>
          <w:rFonts w:cs="Helvetica" w:hint="eastAsia"/>
          <w:color w:val="000000"/>
          <w:sz w:val="21"/>
          <w:szCs w:val="21"/>
        </w:rPr>
        <w:t>，</w:t>
      </w:r>
      <w:r w:rsidR="00237733">
        <w:rPr>
          <w:rFonts w:cs="Helvetica" w:hint="eastAsia"/>
          <w:color w:val="000000"/>
          <w:sz w:val="21"/>
          <w:szCs w:val="21"/>
        </w:rPr>
        <w:t>反馈</w:t>
      </w:r>
      <w:bookmarkStart w:id="0" w:name="_GoBack"/>
      <w:bookmarkEnd w:id="0"/>
      <w:r>
        <w:rPr>
          <w:rFonts w:cs="Helvetica" w:hint="eastAsia"/>
          <w:color w:val="000000"/>
          <w:sz w:val="21"/>
          <w:szCs w:val="21"/>
        </w:rPr>
        <w:t>内容必须与事实一致，否则因此造成的后果自行承担。</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3、我中心申诉、投诉与争议工作人员会按照工作程序对您所反映的情况进行认真调查，希望您给予积极配合和理解。</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4、涉及认证执法检查等方面的问题请您与相关执法部门进行联系。</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5、当事人向</w:t>
      </w:r>
      <w:r w:rsidR="00696432">
        <w:rPr>
          <w:rFonts w:cs="Helvetica" w:hint="eastAsia"/>
          <w:color w:val="000000"/>
          <w:sz w:val="21"/>
          <w:szCs w:val="21"/>
        </w:rPr>
        <w:t>CHCT</w:t>
      </w:r>
      <w:r>
        <w:rPr>
          <w:rFonts w:cs="Helvetica" w:hint="eastAsia"/>
          <w:color w:val="000000"/>
          <w:sz w:val="21"/>
          <w:szCs w:val="21"/>
        </w:rPr>
        <w:t>提出申诉、投诉和争议应当符合下列条件：</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1）有明确的被申诉/投诉/争议方；</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2）有具体的申诉/投诉/争议请求、事实和理由；</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3）申诉、投诉和争议提出人有有效的联系方式。</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6、以下不在我中心申诉、投诉与争议受理范围：</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1) 法院、仲裁机构或者其他行政机关已经受理或者处理的申诉、投诉、争议；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2) 超出</w:t>
      </w:r>
      <w:r w:rsidR="00696432">
        <w:rPr>
          <w:rFonts w:cs="Helvetica" w:hint="eastAsia"/>
          <w:color w:val="000000"/>
          <w:sz w:val="21"/>
          <w:szCs w:val="21"/>
        </w:rPr>
        <w:t>CHCT</w:t>
      </w:r>
      <w:r>
        <w:rPr>
          <w:rFonts w:cs="Helvetica" w:hint="eastAsia"/>
          <w:color w:val="000000"/>
          <w:sz w:val="21"/>
          <w:szCs w:val="21"/>
        </w:rPr>
        <w:t>业务范围、不属于</w:t>
      </w:r>
      <w:r w:rsidR="00696432">
        <w:rPr>
          <w:rFonts w:cs="Helvetica" w:hint="eastAsia"/>
          <w:color w:val="000000"/>
          <w:sz w:val="21"/>
          <w:szCs w:val="21"/>
        </w:rPr>
        <w:t>CHCT</w:t>
      </w:r>
      <w:r>
        <w:rPr>
          <w:rFonts w:cs="Helvetica" w:hint="eastAsia"/>
          <w:color w:val="000000"/>
          <w:sz w:val="21"/>
          <w:szCs w:val="21"/>
        </w:rPr>
        <w:t>工作范畴的申诉、投诉、争议；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3) 申诉、投诉和争议事项已被法院作为诉讼证据予以采信的；</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4) </w:t>
      </w:r>
      <w:r w:rsidR="00696432">
        <w:rPr>
          <w:rFonts w:cs="Helvetica" w:hint="eastAsia"/>
          <w:color w:val="000000"/>
          <w:sz w:val="21"/>
          <w:szCs w:val="21"/>
        </w:rPr>
        <w:t>CHCT</w:t>
      </w:r>
      <w:r>
        <w:rPr>
          <w:rFonts w:cs="Helvetica" w:hint="eastAsia"/>
          <w:color w:val="000000"/>
          <w:sz w:val="21"/>
          <w:szCs w:val="21"/>
        </w:rPr>
        <w:t>已就申诉/投诉/争议申请</w:t>
      </w:r>
      <w:proofErr w:type="gramStart"/>
      <w:r>
        <w:rPr>
          <w:rFonts w:cs="Helvetica" w:hint="eastAsia"/>
          <w:color w:val="000000"/>
          <w:sz w:val="21"/>
          <w:szCs w:val="21"/>
        </w:rPr>
        <w:t>作出</w:t>
      </w:r>
      <w:proofErr w:type="gramEnd"/>
      <w:r>
        <w:rPr>
          <w:rFonts w:cs="Helvetica" w:hint="eastAsia"/>
          <w:color w:val="000000"/>
          <w:sz w:val="21"/>
          <w:szCs w:val="21"/>
        </w:rPr>
        <w:t>处理，申请人在没有新情况、新理由的前提下再次提出的申诉、投诉、争议；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5) 不符合国家法律、法规的申诉、投诉、争议；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lastRenderedPageBreak/>
        <w:t>    6) 证据不全的申诉、投诉、争议；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7) 当事人无法证实自己权益受到侵害的申诉、投诉、争议；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8) 向</w:t>
      </w:r>
      <w:r w:rsidR="00696432">
        <w:rPr>
          <w:rFonts w:cs="Helvetica" w:hint="eastAsia"/>
          <w:color w:val="000000"/>
          <w:sz w:val="21"/>
          <w:szCs w:val="21"/>
        </w:rPr>
        <w:t>CHCT</w:t>
      </w:r>
      <w:r>
        <w:rPr>
          <w:rFonts w:cs="Helvetica" w:hint="eastAsia"/>
          <w:color w:val="000000"/>
          <w:sz w:val="21"/>
          <w:szCs w:val="21"/>
        </w:rPr>
        <w:t>提供的证据不全、无法开展调查的申诉、投诉、争议；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9) 属于纪检部门、监察机关管辖范围的申诉、投诉、争议。</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7、我中心将在接到申诉、投诉之日起60日内，</w:t>
      </w:r>
      <w:proofErr w:type="gramStart"/>
      <w:r>
        <w:rPr>
          <w:rFonts w:cs="Helvetica" w:hint="eastAsia"/>
          <w:color w:val="000000"/>
          <w:sz w:val="21"/>
          <w:szCs w:val="21"/>
        </w:rPr>
        <w:t>作出</w:t>
      </w:r>
      <w:proofErr w:type="gramEnd"/>
      <w:r>
        <w:rPr>
          <w:rFonts w:cs="Helvetica" w:hint="eastAsia"/>
          <w:color w:val="000000"/>
          <w:sz w:val="21"/>
          <w:szCs w:val="21"/>
        </w:rPr>
        <w:t>处理决定；对情况复杂的案件，经中心主任批准可适当延长办理期限。如在处理过程中需要进行检测、鉴定的，检测、鉴定时间将不计入处理时间内。</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8、申诉、投诉与争议案件办结后，当事人有有效联系方式的，我中心申诉、投诉与争议工作人员会将最终调查处理结果告知当事人。</w:t>
      </w:r>
    </w:p>
    <w:p w:rsidR="001B4449" w:rsidRDefault="001B4449" w:rsidP="001B4449">
      <w:pPr>
        <w:pStyle w:val="a3"/>
        <w:shd w:val="clear" w:color="auto" w:fill="FFFFFF"/>
        <w:spacing w:line="540" w:lineRule="atLeast"/>
        <w:rPr>
          <w:rFonts w:cs="Helvetica"/>
          <w:color w:val="000000"/>
          <w:sz w:val="21"/>
          <w:szCs w:val="21"/>
        </w:rPr>
      </w:pPr>
      <w:r>
        <w:rPr>
          <w:rFonts w:cs="Helvetica" w:hint="eastAsia"/>
          <w:color w:val="000000"/>
          <w:sz w:val="21"/>
          <w:szCs w:val="21"/>
        </w:rPr>
        <w:t>    9、本规定由中国质量认证中心负责解释。</w:t>
      </w:r>
    </w:p>
    <w:p w:rsidR="00545730" w:rsidRPr="001B4449" w:rsidRDefault="00545730" w:rsidP="001B4449"/>
    <w:sectPr w:rsidR="00545730" w:rsidRPr="001B4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B1" w:rsidRDefault="00AB75B1" w:rsidP="00237733">
      <w:r>
        <w:separator/>
      </w:r>
    </w:p>
  </w:endnote>
  <w:endnote w:type="continuationSeparator" w:id="0">
    <w:p w:rsidR="00AB75B1" w:rsidRDefault="00AB75B1" w:rsidP="0023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B1" w:rsidRDefault="00AB75B1" w:rsidP="00237733">
      <w:r>
        <w:separator/>
      </w:r>
    </w:p>
  </w:footnote>
  <w:footnote w:type="continuationSeparator" w:id="0">
    <w:p w:rsidR="00AB75B1" w:rsidRDefault="00AB75B1" w:rsidP="0023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8E"/>
    <w:rsid w:val="001B4449"/>
    <w:rsid w:val="00237733"/>
    <w:rsid w:val="00545730"/>
    <w:rsid w:val="00696432"/>
    <w:rsid w:val="00932139"/>
    <w:rsid w:val="00AB75B1"/>
    <w:rsid w:val="00F6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449"/>
    <w:pPr>
      <w:widowControl/>
      <w:spacing w:after="150"/>
      <w:jc w:val="left"/>
    </w:pPr>
    <w:rPr>
      <w:rFonts w:ascii="宋体" w:eastAsia="宋体" w:hAnsi="宋体" w:cs="宋体"/>
      <w:kern w:val="0"/>
      <w:sz w:val="24"/>
      <w:szCs w:val="24"/>
    </w:rPr>
  </w:style>
  <w:style w:type="paragraph" w:styleId="a4">
    <w:name w:val="header"/>
    <w:basedOn w:val="a"/>
    <w:link w:val="Char"/>
    <w:uiPriority w:val="99"/>
    <w:unhideWhenUsed/>
    <w:rsid w:val="00237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7733"/>
    <w:rPr>
      <w:sz w:val="18"/>
      <w:szCs w:val="18"/>
    </w:rPr>
  </w:style>
  <w:style w:type="paragraph" w:styleId="a5">
    <w:name w:val="footer"/>
    <w:basedOn w:val="a"/>
    <w:link w:val="Char0"/>
    <w:uiPriority w:val="99"/>
    <w:unhideWhenUsed/>
    <w:rsid w:val="00237733"/>
    <w:pPr>
      <w:tabs>
        <w:tab w:val="center" w:pos="4153"/>
        <w:tab w:val="right" w:pos="8306"/>
      </w:tabs>
      <w:snapToGrid w:val="0"/>
      <w:jc w:val="left"/>
    </w:pPr>
    <w:rPr>
      <w:sz w:val="18"/>
      <w:szCs w:val="18"/>
    </w:rPr>
  </w:style>
  <w:style w:type="character" w:customStyle="1" w:styleId="Char0">
    <w:name w:val="页脚 Char"/>
    <w:basedOn w:val="a0"/>
    <w:link w:val="a5"/>
    <w:uiPriority w:val="99"/>
    <w:rsid w:val="002377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449"/>
    <w:pPr>
      <w:widowControl/>
      <w:spacing w:after="150"/>
      <w:jc w:val="left"/>
    </w:pPr>
    <w:rPr>
      <w:rFonts w:ascii="宋体" w:eastAsia="宋体" w:hAnsi="宋体" w:cs="宋体"/>
      <w:kern w:val="0"/>
      <w:sz w:val="24"/>
      <w:szCs w:val="24"/>
    </w:rPr>
  </w:style>
  <w:style w:type="paragraph" w:styleId="a4">
    <w:name w:val="header"/>
    <w:basedOn w:val="a"/>
    <w:link w:val="Char"/>
    <w:uiPriority w:val="99"/>
    <w:unhideWhenUsed/>
    <w:rsid w:val="00237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37733"/>
    <w:rPr>
      <w:sz w:val="18"/>
      <w:szCs w:val="18"/>
    </w:rPr>
  </w:style>
  <w:style w:type="paragraph" w:styleId="a5">
    <w:name w:val="footer"/>
    <w:basedOn w:val="a"/>
    <w:link w:val="Char0"/>
    <w:uiPriority w:val="99"/>
    <w:unhideWhenUsed/>
    <w:rsid w:val="00237733"/>
    <w:pPr>
      <w:tabs>
        <w:tab w:val="center" w:pos="4153"/>
        <w:tab w:val="right" w:pos="8306"/>
      </w:tabs>
      <w:snapToGrid w:val="0"/>
      <w:jc w:val="left"/>
    </w:pPr>
    <w:rPr>
      <w:sz w:val="18"/>
      <w:szCs w:val="18"/>
    </w:rPr>
  </w:style>
  <w:style w:type="character" w:customStyle="1" w:styleId="Char0">
    <w:name w:val="页脚 Char"/>
    <w:basedOn w:val="a0"/>
    <w:link w:val="a5"/>
    <w:uiPriority w:val="99"/>
    <w:rsid w:val="002377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13">
      <w:bodyDiv w:val="1"/>
      <w:marLeft w:val="0"/>
      <w:marRight w:val="0"/>
      <w:marTop w:val="0"/>
      <w:marBottom w:val="0"/>
      <w:divBdr>
        <w:top w:val="none" w:sz="0" w:space="0" w:color="auto"/>
        <w:left w:val="none" w:sz="0" w:space="0" w:color="auto"/>
        <w:bottom w:val="none" w:sz="0" w:space="0" w:color="auto"/>
        <w:right w:val="none" w:sz="0" w:space="0" w:color="auto"/>
      </w:divBdr>
      <w:divsChild>
        <w:div w:id="656152634">
          <w:marLeft w:val="0"/>
          <w:marRight w:val="0"/>
          <w:marTop w:val="0"/>
          <w:marBottom w:val="0"/>
          <w:divBdr>
            <w:top w:val="none" w:sz="0" w:space="0" w:color="auto"/>
            <w:left w:val="none" w:sz="0" w:space="0" w:color="auto"/>
            <w:bottom w:val="none" w:sz="0" w:space="0" w:color="auto"/>
            <w:right w:val="none" w:sz="0" w:space="0" w:color="auto"/>
          </w:divBdr>
          <w:divsChild>
            <w:div w:id="2078281316">
              <w:marLeft w:val="0"/>
              <w:marRight w:val="0"/>
              <w:marTop w:val="0"/>
              <w:marBottom w:val="0"/>
              <w:divBdr>
                <w:top w:val="none" w:sz="0" w:space="0" w:color="auto"/>
                <w:left w:val="none" w:sz="0" w:space="0" w:color="auto"/>
                <w:bottom w:val="none" w:sz="0" w:space="0" w:color="auto"/>
                <w:right w:val="none" w:sz="0" w:space="0" w:color="auto"/>
              </w:divBdr>
              <w:divsChild>
                <w:div w:id="598294809">
                  <w:marLeft w:val="0"/>
                  <w:marRight w:val="0"/>
                  <w:marTop w:val="0"/>
                  <w:marBottom w:val="0"/>
                  <w:divBdr>
                    <w:top w:val="single" w:sz="6" w:space="0" w:color="F3F2F2"/>
                    <w:left w:val="single" w:sz="6" w:space="23" w:color="F3F2F2"/>
                    <w:bottom w:val="single" w:sz="6" w:space="23" w:color="F3F2F2"/>
                    <w:right w:val="single" w:sz="6" w:space="23" w:color="F3F2F2"/>
                  </w:divBdr>
                  <w:divsChild>
                    <w:div w:id="1776553215">
                      <w:marLeft w:val="-225"/>
                      <w:marRight w:val="-225"/>
                      <w:marTop w:val="0"/>
                      <w:marBottom w:val="0"/>
                      <w:divBdr>
                        <w:top w:val="none" w:sz="0" w:space="0" w:color="auto"/>
                        <w:left w:val="none" w:sz="0" w:space="0" w:color="auto"/>
                        <w:bottom w:val="none" w:sz="0" w:space="0" w:color="auto"/>
                        <w:right w:val="none" w:sz="0" w:space="0" w:color="auto"/>
                      </w:divBdr>
                      <w:divsChild>
                        <w:div w:id="1429815310">
                          <w:marLeft w:val="0"/>
                          <w:marRight w:val="0"/>
                          <w:marTop w:val="0"/>
                          <w:marBottom w:val="0"/>
                          <w:divBdr>
                            <w:top w:val="none" w:sz="0" w:space="0" w:color="auto"/>
                            <w:left w:val="none" w:sz="0" w:space="0" w:color="auto"/>
                            <w:bottom w:val="none" w:sz="0" w:space="0" w:color="auto"/>
                            <w:right w:val="none" w:sz="0" w:space="0" w:color="auto"/>
                          </w:divBdr>
                          <w:divsChild>
                            <w:div w:id="597951197">
                              <w:marLeft w:val="0"/>
                              <w:marRight w:val="0"/>
                              <w:marTop w:val="0"/>
                              <w:marBottom w:val="0"/>
                              <w:divBdr>
                                <w:top w:val="none" w:sz="0" w:space="0" w:color="auto"/>
                                <w:left w:val="none" w:sz="0" w:space="0" w:color="auto"/>
                                <w:bottom w:val="none" w:sz="0" w:space="0" w:color="auto"/>
                                <w:right w:val="none" w:sz="0" w:space="0" w:color="auto"/>
                              </w:divBdr>
                              <w:divsChild>
                                <w:div w:id="249972381">
                                  <w:marLeft w:val="0"/>
                                  <w:marRight w:val="0"/>
                                  <w:marTop w:val="0"/>
                                  <w:marBottom w:val="0"/>
                                  <w:divBdr>
                                    <w:top w:val="none" w:sz="0" w:space="0" w:color="auto"/>
                                    <w:left w:val="none" w:sz="0" w:space="0" w:color="auto"/>
                                    <w:bottom w:val="dashed" w:sz="6" w:space="23" w:color="999999"/>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songss</dc:creator>
  <cp:lastModifiedBy>songss</cp:lastModifiedBy>
  <cp:revision>5</cp:revision>
  <dcterms:created xsi:type="dcterms:W3CDTF">2020-08-06T07:20:00Z</dcterms:created>
  <dcterms:modified xsi:type="dcterms:W3CDTF">2020-08-06T07:48:00Z</dcterms:modified>
</cp:coreProperties>
</file>