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D" w:rsidRDefault="00456F52">
      <w:pPr>
        <w:pStyle w:val="a7"/>
      </w:pPr>
      <w:bookmarkStart w:id="0" w:name="_GoBack"/>
      <w:bookmarkEnd w:id="0"/>
      <w:r>
        <w:t>附件</w:t>
      </w:r>
      <w:r>
        <w:rPr>
          <w:rFonts w:hint="eastAsia"/>
        </w:rPr>
        <w:t>1：</w:t>
      </w:r>
    </w:p>
    <w:p w:rsidR="006B2DED" w:rsidRDefault="00456F52">
      <w:pPr>
        <w:pStyle w:val="a7"/>
        <w:jc w:val="center"/>
      </w:pPr>
      <w:r>
        <w:rPr>
          <w:rFonts w:hint="eastAsia"/>
        </w:rPr>
        <w:t>GB/T 39560系列标准与GB/T</w:t>
      </w:r>
      <w:r>
        <w:t xml:space="preserve"> </w:t>
      </w:r>
      <w:r>
        <w:rPr>
          <w:rFonts w:hint="eastAsia"/>
        </w:rPr>
        <w:t>26125标准主要技术差异及补充试验试验项目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5"/>
        <w:gridCol w:w="2554"/>
        <w:gridCol w:w="4113"/>
        <w:gridCol w:w="5412"/>
        <w:gridCol w:w="1420"/>
      </w:tblGrid>
      <w:tr w:rsidR="006B2DED">
        <w:tc>
          <w:tcPr>
            <w:tcW w:w="238" w:type="pct"/>
            <w:vMerge w:val="restar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序号</w:t>
            </w:r>
          </w:p>
        </w:tc>
        <w:tc>
          <w:tcPr>
            <w:tcW w:w="901" w:type="pct"/>
            <w:vMerge w:val="restar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标准号</w:t>
            </w:r>
          </w:p>
        </w:tc>
        <w:tc>
          <w:tcPr>
            <w:tcW w:w="3360" w:type="pct"/>
            <w:gridSpan w:val="2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新旧标准差异</w:t>
            </w:r>
          </w:p>
        </w:tc>
        <w:tc>
          <w:tcPr>
            <w:tcW w:w="502" w:type="pct"/>
            <w:vMerge w:val="restar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补充试验</w:t>
            </w:r>
          </w:p>
        </w:tc>
      </w:tr>
      <w:tr w:rsidR="006B2DED">
        <w:tc>
          <w:tcPr>
            <w:tcW w:w="238" w:type="pct"/>
            <w:vMerge/>
            <w:vAlign w:val="center"/>
          </w:tcPr>
          <w:p w:rsidR="006B2DED" w:rsidRDefault="006B2DED">
            <w:pPr>
              <w:pStyle w:val="a7"/>
            </w:pPr>
          </w:p>
        </w:tc>
        <w:tc>
          <w:tcPr>
            <w:tcW w:w="901" w:type="pct"/>
            <w:vMerge/>
            <w:vAlign w:val="center"/>
          </w:tcPr>
          <w:p w:rsidR="006B2DED" w:rsidRDefault="006B2DED">
            <w:pPr>
              <w:pStyle w:val="a7"/>
            </w:pP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7"/>
            </w:pPr>
            <w:r>
              <w:t>GB/T 26125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GB/T 39560系列标准</w:t>
            </w:r>
          </w:p>
        </w:tc>
        <w:tc>
          <w:tcPr>
            <w:tcW w:w="502" w:type="pct"/>
            <w:vMerge/>
            <w:vAlign w:val="center"/>
          </w:tcPr>
          <w:p w:rsidR="006B2DED" w:rsidRDefault="006B2DED">
            <w:pPr>
              <w:pStyle w:val="a7"/>
            </w:pP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  <w:rPr>
                <w:color w:val="000000"/>
              </w:rPr>
            </w:pPr>
            <w:r>
              <w:t>1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GB/T39560.1-2020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第1部分：介绍和概述》</w:t>
            </w:r>
          </w:p>
        </w:tc>
        <w:tc>
          <w:tcPr>
            <w:tcW w:w="1451" w:type="pct"/>
          </w:tcPr>
          <w:p w:rsidR="006B2DED" w:rsidRDefault="00456F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--</w:t>
            </w:r>
          </w:p>
        </w:tc>
        <w:tc>
          <w:tcPr>
            <w:tcW w:w="1909" w:type="pct"/>
          </w:tcPr>
          <w:p w:rsidR="006B2DED" w:rsidRDefault="00456F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新旧标准无明显技术差异。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--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t>2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39560.2-2020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第2部分：拆解、拆分和机械制样》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无样品拆解及拆分部分。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在原内容基础上补充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IEC/PAS 62596:2009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中样品拆解与拆分的相关内容。</w:t>
            </w:r>
          </w:p>
          <w:p w:rsidR="006B2DED" w:rsidRDefault="00456F5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术语和定义、缩略语部分增加“混合检测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composite testing”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某些物质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certain substance”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的概念。</w:t>
            </w:r>
          </w:p>
          <w:p w:rsidR="006B2DED" w:rsidRDefault="00456F5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增加4取样简介、5取样、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取样的结论与建议。</w:t>
            </w:r>
          </w:p>
          <w:p w:rsidR="006B2DED" w:rsidRDefault="00456F52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增加附录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取样与拆分过程示例、附录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含有某些物质的概率、附录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混合检测与取样、附录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取样使用的工具、附录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手机拆解与元器件拆分的示例。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--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t>3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GB/T39560.301-2020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第3-1部分：X射线荧光光谱法筛选铅、汞、镉、总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铬和总溴》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3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6.4.1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非破坏性方法要求采用一切办法使待测样品具有规则的形状，并且尽可能考虑待测样品整个测量区域的平整度、表面粗糙度和已知的物理结构。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B2DED" w:rsidRDefault="00456F52">
            <w:pPr>
              <w:pStyle w:val="ac"/>
              <w:numPr>
                <w:ilvl w:val="0"/>
                <w:numId w:val="3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无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XRF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筛选应用和结果说明的附录，无利用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XRF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进行筛选的实际示例的附录。</w:t>
            </w:r>
          </w:p>
          <w:p w:rsidR="006B2DED" w:rsidRDefault="00456F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6.9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特殊情况说明：对样品提交程序，样品均匀性，样品面积（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XRF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照射区）和样品厚度等特殊情况下的测试技术要求进行详细说明。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7.2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非破坏性方法删除了对样品的无损制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样过程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中考虑样品形状是否规则、整个区域的平整度、表面粗糙度和已知的物理结构的要求。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B2DED" w:rsidRDefault="00456F52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增加附录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 XRF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筛选应用和结果说明、附录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XRF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进行筛选的实际示例。</w:t>
            </w:r>
          </w:p>
          <w:p w:rsidR="006B2DED" w:rsidRDefault="00456F52">
            <w:pPr>
              <w:pStyle w:val="ac"/>
              <w:numPr>
                <w:ilvl w:val="0"/>
                <w:numId w:val="4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特殊情况：大大简化了详细说明，仅提出样品表面及照射区、样品厚度和样品均匀性等会影响本测试方法的准确度。没有提出技术要求。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做补充试验（适用时）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lastRenderedPageBreak/>
              <w:t>4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39560.4-2021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第4部分：CV-AAS、CV-AFS、ICP-OES和ICP-MS测定聚合物、金属和电子件中的汞》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5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7.4.1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试样部分“对于单端型荧光灯（紧凑型荧光灯）中汞的测定参照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2002/747/EC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的附录要求进行”。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5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7.4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样品前处理部分无热解析汞齐气化技术方法。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5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检测程序部分无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TD(G)-AAS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方法建立标准曲线；未对结果的精密度和质量保证提出要求。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6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取样和试料部分“荧光灯中汞的测定，样品前处理参照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IEC 62554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B2DED" w:rsidRDefault="00456F52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分析步骤部分增加了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7.3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“热分解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金汞齐系统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前处理操作细节。</w:t>
            </w:r>
          </w:p>
          <w:p w:rsidR="006B2DED" w:rsidRDefault="00456F52">
            <w:pPr>
              <w:pStyle w:val="ac"/>
              <w:numPr>
                <w:ilvl w:val="0"/>
                <w:numId w:val="6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标准曲线的建立部分增加了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TD(G)-AAS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方法；增加了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“结果的精密度”和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“质量保证和控制”。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做补充试验（适用时）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t>5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39560.5-2021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第5部分：AAS、AFS、ICP-OES和ICP-MS法测定聚合物和电子件中镉、铅、铬以及金属中镉、铅的含量》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7"/>
              </w:numPr>
              <w:ind w:firstLineChars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无总铬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的测试要求。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AFS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对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Cd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proofErr w:type="spellStart"/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Pb</w:t>
            </w:r>
            <w:proofErr w:type="spell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的测试方法。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8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增加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总铬的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测试要求。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8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增加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7 AFS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对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Cd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proofErr w:type="spellStart"/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Pb</w:t>
            </w:r>
            <w:proofErr w:type="spellEnd"/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测试方法。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做补充试验（适用时）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  <w:rPr>
                <w:color w:val="000000"/>
              </w:rPr>
            </w:pPr>
            <w:r>
              <w:t>6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39560.6-2020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些物质的测定 第6部分：气相色谱-质谱仪（GC-MS）测定聚合物中的多溴联苯和多溴二苯醚》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无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IAMS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HPLC-UV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测试方法。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增加附录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离子附着质谱法（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IAMS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）测定聚合物中多溴联苯和多溴二苯醚（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IAM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S法适用于特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定含量范围十溴联苯以及十溴二苯醚、八溴二苯醚与五溴二苯醚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快速定性和半定量分析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增加附录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用高效液相色谱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紫外检测法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(HPLC-UV)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测定聚合物中的多溴联苯和多溴二苯醚（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HPLC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UV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法仅限测试十溴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八溴二苯醚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联苯）。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增加附录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：适应于I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AMS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、H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PLC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和G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C-MS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测试方法的流程图示例。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做补充试验（适用时）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lastRenderedPageBreak/>
              <w:t>7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39560.701-2020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第7-1部分：六价铬 比色法测定金属上无色和有色防腐镀层中的六价铬[Cr(VI)]》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11"/>
              </w:numPr>
              <w:ind w:firstLineChars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B.5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包含“斑点法”和“沸水提取法”两种测试方法。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1"/>
              </w:numPr>
              <w:ind w:firstLineChars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B.5.2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沸水提取法中，参比溶液浓度为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0.02mg/kg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  <w:p w:rsidR="006B2DED" w:rsidRDefault="00456F52">
            <w:pPr>
              <w:pStyle w:val="ac"/>
              <w:numPr>
                <w:ilvl w:val="0"/>
                <w:numId w:val="11"/>
              </w:numPr>
              <w:ind w:firstLineChars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B.5.2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阴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阳性判定基准（大于等于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0.02mg/kg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阳性，小于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0.02mg/kg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阴性）。</w:t>
            </w:r>
          </w:p>
          <w:p w:rsidR="006B2DED" w:rsidRDefault="00456F52">
            <w:pPr>
              <w:pStyle w:val="ac"/>
              <w:numPr>
                <w:ilvl w:val="0"/>
                <w:numId w:val="11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无显色剂储存条件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具体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要求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  <w:p w:rsidR="006B2DED" w:rsidRDefault="00456F52">
            <w:pPr>
              <w:pStyle w:val="ac"/>
              <w:numPr>
                <w:ilvl w:val="0"/>
                <w:numId w:val="11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无等价标准溶液进行校准的要求。</w:t>
            </w:r>
          </w:p>
          <w:p w:rsidR="006B2DED" w:rsidRDefault="00456F52">
            <w:pPr>
              <w:pStyle w:val="ac"/>
              <w:numPr>
                <w:ilvl w:val="0"/>
                <w:numId w:val="1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无等价标准溶液进行性能验证的要求。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1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删除“斑点法”，只保留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“沸水提取法”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沸水提取法中，参比溶液浓度为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0.10μg/cm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0.13μg/cm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Cr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bscript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等价标准溶液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[4.2c)]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6B2DED" w:rsidRDefault="00456F52">
            <w:pPr>
              <w:pStyle w:val="ac"/>
              <w:numPr>
                <w:ilvl w:val="0"/>
                <w:numId w:val="1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修订对结果的阴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阳性判定基准（改为小于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0.10μg/cm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等价标准溶液为阴性、大于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0.13μg/cm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等价标准溶液为阳性、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0.10μg/cm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-0.13μg/cm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等价标准溶液为不确定，不确定时应进行比色测量）。</w:t>
            </w:r>
          </w:p>
          <w:p w:rsidR="006B2DED" w:rsidRDefault="00456F52">
            <w:pPr>
              <w:pStyle w:val="ac"/>
              <w:numPr>
                <w:ilvl w:val="0"/>
                <w:numId w:val="1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 沸水提取程序中明确了显色剂的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储存条件。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2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校准中增加使用浓度为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0.10μg/mL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0.13μg/mL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的等价标准溶液进行校准的要求。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质量保证与控制中增加使用浓度为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0.10μg/mL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0.13μg/mL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的等价标准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溶液进行比色装置性能验证的要求。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pStyle w:val="a7"/>
            </w:pPr>
            <w:r>
              <w:rPr>
                <w:rFonts w:hint="eastAsia"/>
              </w:rPr>
              <w:t>做补充试验</w:t>
            </w:r>
          </w:p>
        </w:tc>
      </w:tr>
      <w:tr w:rsidR="006B2DED">
        <w:tc>
          <w:tcPr>
            <w:tcW w:w="238" w:type="pct"/>
            <w:vAlign w:val="center"/>
          </w:tcPr>
          <w:p w:rsidR="006B2DED" w:rsidRDefault="00456F52">
            <w:pPr>
              <w:pStyle w:val="a7"/>
            </w:pPr>
            <w:r>
              <w:t>8</w:t>
            </w:r>
          </w:p>
        </w:tc>
        <w:tc>
          <w:tcPr>
            <w:tcW w:w="901" w:type="pct"/>
            <w:vAlign w:val="center"/>
          </w:tcPr>
          <w:p w:rsidR="006B2DED" w:rsidRDefault="00456F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39560.702-2021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《电子电气产品中某些物质的测定 第7-2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部分：六价铬 比色法测定聚合物和电子件中的六价铬[Cr（VI）]》</w:t>
            </w:r>
          </w:p>
        </w:tc>
        <w:tc>
          <w:tcPr>
            <w:tcW w:w="1451" w:type="pct"/>
            <w:vAlign w:val="center"/>
          </w:tcPr>
          <w:p w:rsidR="006B2DED" w:rsidRDefault="00456F52">
            <w:pPr>
              <w:pStyle w:val="ac"/>
              <w:widowControl/>
              <w:numPr>
                <w:ilvl w:val="0"/>
                <w:numId w:val="13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无不同基质的前处理方法。</w:t>
            </w:r>
          </w:p>
          <w:p w:rsidR="006B2DED" w:rsidRDefault="00456F52">
            <w:pPr>
              <w:pStyle w:val="ac"/>
              <w:widowControl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提取Cr(Ⅵ)的技术方法，适用于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PVC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>ABS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两种基体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，不同基体样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品使用相同萃取液。</w:t>
            </w:r>
          </w:p>
        </w:tc>
        <w:tc>
          <w:tcPr>
            <w:tcW w:w="1909" w:type="pct"/>
            <w:vAlign w:val="center"/>
          </w:tcPr>
          <w:p w:rsidR="006B2DED" w:rsidRDefault="00456F52">
            <w:pPr>
              <w:pStyle w:val="ac"/>
              <w:numPr>
                <w:ilvl w:val="0"/>
                <w:numId w:val="14"/>
              </w:numPr>
              <w:ind w:firstLineChars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整体修订聚合物和电子件中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Cr(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Ⅵ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的前处理方法。调整了不同聚合物的样品称取质量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消解溶剂种类和体积、样品消解装置、温度、时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间。</w:t>
            </w:r>
          </w:p>
          <w:p w:rsidR="006B2DED" w:rsidRDefault="00456F52">
            <w:pPr>
              <w:pStyle w:val="ac"/>
              <w:numPr>
                <w:ilvl w:val="0"/>
                <w:numId w:val="14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增加不同基体样品使用不同萃取液提取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Cr(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Ⅵ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的技术方法。该方法适用于多种基体，可溶性聚合物（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ABS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PC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基体）和不含锑的不溶聚合物（以及未知聚合物），分别采取不同的前处理方法。</w:t>
            </w:r>
          </w:p>
        </w:tc>
        <w:tc>
          <w:tcPr>
            <w:tcW w:w="502" w:type="pct"/>
            <w:vAlign w:val="center"/>
          </w:tcPr>
          <w:p w:rsidR="006B2DED" w:rsidRDefault="00456F52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做补充试验（适用时）</w:t>
            </w:r>
          </w:p>
        </w:tc>
      </w:tr>
    </w:tbl>
    <w:p w:rsidR="006B2DED" w:rsidRDefault="006B2DED">
      <w:pPr>
        <w:pStyle w:val="a7"/>
      </w:pPr>
    </w:p>
    <w:sectPr w:rsidR="006B2D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99" w:rsidRDefault="00EA7399" w:rsidP="00EA7399">
      <w:r>
        <w:separator/>
      </w:r>
    </w:p>
  </w:endnote>
  <w:endnote w:type="continuationSeparator" w:id="0">
    <w:p w:rsidR="00EA7399" w:rsidRDefault="00EA7399" w:rsidP="00E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99" w:rsidRDefault="00EA7399" w:rsidP="00EA7399">
      <w:r>
        <w:separator/>
      </w:r>
    </w:p>
  </w:footnote>
  <w:footnote w:type="continuationSeparator" w:id="0">
    <w:p w:rsidR="00EA7399" w:rsidRDefault="00EA7399" w:rsidP="00EA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16"/>
    <w:multiLevelType w:val="multilevel"/>
    <w:tmpl w:val="01BB0E1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02ECC"/>
    <w:multiLevelType w:val="multilevel"/>
    <w:tmpl w:val="1A002EC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FA158B"/>
    <w:multiLevelType w:val="multilevel"/>
    <w:tmpl w:val="30FA158B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C518B3"/>
    <w:multiLevelType w:val="multilevel"/>
    <w:tmpl w:val="31C518B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C24E58"/>
    <w:multiLevelType w:val="multilevel"/>
    <w:tmpl w:val="37C24E5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575CA"/>
    <w:multiLevelType w:val="multilevel"/>
    <w:tmpl w:val="3BA575CA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296639"/>
    <w:multiLevelType w:val="multilevel"/>
    <w:tmpl w:val="42296639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381431"/>
    <w:multiLevelType w:val="multilevel"/>
    <w:tmpl w:val="4238143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D00E75"/>
    <w:multiLevelType w:val="multilevel"/>
    <w:tmpl w:val="48D00E75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B462D5"/>
    <w:multiLevelType w:val="multilevel"/>
    <w:tmpl w:val="4CB462D5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C82726"/>
    <w:multiLevelType w:val="multilevel"/>
    <w:tmpl w:val="51C82726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47B44F8"/>
    <w:multiLevelType w:val="multilevel"/>
    <w:tmpl w:val="547B44F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567C60"/>
    <w:multiLevelType w:val="multilevel"/>
    <w:tmpl w:val="6C567C6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2F3DED"/>
    <w:multiLevelType w:val="multilevel"/>
    <w:tmpl w:val="7A2F3DE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TViZDgzYTU1Yzc2Y2Y3YTVmMzhlYjVhNGY1MzEifQ=="/>
  </w:docVars>
  <w:rsids>
    <w:rsidRoot w:val="00796DCD"/>
    <w:rsid w:val="00062EA8"/>
    <w:rsid w:val="00066DD3"/>
    <w:rsid w:val="00091064"/>
    <w:rsid w:val="001602B4"/>
    <w:rsid w:val="00175A07"/>
    <w:rsid w:val="001C2A7E"/>
    <w:rsid w:val="00205309"/>
    <w:rsid w:val="00205972"/>
    <w:rsid w:val="00235D36"/>
    <w:rsid w:val="0026391B"/>
    <w:rsid w:val="002A3F6E"/>
    <w:rsid w:val="002B313D"/>
    <w:rsid w:val="00340F15"/>
    <w:rsid w:val="003679A6"/>
    <w:rsid w:val="003804C7"/>
    <w:rsid w:val="003C26A1"/>
    <w:rsid w:val="003E5B30"/>
    <w:rsid w:val="00434318"/>
    <w:rsid w:val="00442CA5"/>
    <w:rsid w:val="00446547"/>
    <w:rsid w:val="00456F52"/>
    <w:rsid w:val="006518F5"/>
    <w:rsid w:val="006B2DED"/>
    <w:rsid w:val="006C48E6"/>
    <w:rsid w:val="006D113E"/>
    <w:rsid w:val="006F309F"/>
    <w:rsid w:val="0070448C"/>
    <w:rsid w:val="00725A39"/>
    <w:rsid w:val="00742AF9"/>
    <w:rsid w:val="007942ED"/>
    <w:rsid w:val="00796DCD"/>
    <w:rsid w:val="007A7DAD"/>
    <w:rsid w:val="007B665E"/>
    <w:rsid w:val="007F57F9"/>
    <w:rsid w:val="00833009"/>
    <w:rsid w:val="00854F6D"/>
    <w:rsid w:val="008B67CA"/>
    <w:rsid w:val="008C00CC"/>
    <w:rsid w:val="008C0BD5"/>
    <w:rsid w:val="00911DE3"/>
    <w:rsid w:val="00997C57"/>
    <w:rsid w:val="009A25BA"/>
    <w:rsid w:val="009C5863"/>
    <w:rsid w:val="00A305B6"/>
    <w:rsid w:val="00A70868"/>
    <w:rsid w:val="00AC02BB"/>
    <w:rsid w:val="00B04D27"/>
    <w:rsid w:val="00BC490F"/>
    <w:rsid w:val="00BD08F7"/>
    <w:rsid w:val="00C06E73"/>
    <w:rsid w:val="00C362EC"/>
    <w:rsid w:val="00C428DC"/>
    <w:rsid w:val="00C55427"/>
    <w:rsid w:val="00C95BEB"/>
    <w:rsid w:val="00CC0A69"/>
    <w:rsid w:val="00CF24DE"/>
    <w:rsid w:val="00D11E81"/>
    <w:rsid w:val="00D33241"/>
    <w:rsid w:val="00D977B6"/>
    <w:rsid w:val="00DD38FF"/>
    <w:rsid w:val="00E0729D"/>
    <w:rsid w:val="00E9000A"/>
    <w:rsid w:val="00EA7399"/>
    <w:rsid w:val="00F85989"/>
    <w:rsid w:val="00F87D2E"/>
    <w:rsid w:val="00FE4C09"/>
    <w:rsid w:val="1A42694F"/>
    <w:rsid w:val="49F627C3"/>
    <w:rsid w:val="59F260BB"/>
    <w:rsid w:val="696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  <w:szCs w:val="22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autoRedefine/>
    <w:uiPriority w:val="99"/>
    <w:semiHidden/>
    <w:unhideWhenUsed/>
    <w:qFormat/>
    <w:rPr>
      <w:b/>
      <w:bCs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  <w:szCs w:val="22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2136</Characters>
  <Application>Microsoft Office Word</Application>
  <DocSecurity>0</DocSecurity>
  <Lines>17</Lines>
  <Paragraphs>5</Paragraphs>
  <ScaleCrop>false</ScaleCrop>
  <Company>MS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袁晓曦</dc:creator>
  <cp:lastModifiedBy>王聪聪</cp:lastModifiedBy>
  <cp:revision>23</cp:revision>
  <cp:lastPrinted>2019-03-12T07:11:00Z</cp:lastPrinted>
  <dcterms:created xsi:type="dcterms:W3CDTF">2023-09-25T07:59:00Z</dcterms:created>
  <dcterms:modified xsi:type="dcterms:W3CDTF">2024-02-27T00:34:00Z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ED8D41383FD54E4AA1BAABA3BC59670A_12</vt:lpwstr>
  </property>
</Properties>
</file>